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B" w:rsidRPr="00D8771B" w:rsidRDefault="00D8771B" w:rsidP="00D8771B">
      <w:pPr>
        <w:spacing w:before="600" w:after="450" w:line="240" w:lineRule="auto"/>
        <w:outlineLvl w:val="0"/>
        <w:rPr>
          <w:rFonts w:ascii="Arial" w:eastAsia="Times New Roman" w:hAnsi="Arial" w:cs="Arial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</w:pPr>
      <w:r w:rsidRPr="00D8771B">
        <w:rPr>
          <w:rFonts w:ascii="Arial" w:eastAsia="Times New Roman" w:hAnsi="Arial" w:cs="Arial"/>
          <w:b/>
          <w:bCs/>
          <w:caps/>
          <w:color w:val="444444"/>
          <w:spacing w:val="15"/>
          <w:kern w:val="36"/>
          <w:sz w:val="42"/>
          <w:szCs w:val="42"/>
          <w:lang w:eastAsia="ru-RU"/>
        </w:rPr>
        <w:t>КАК ОРГАНИЗОВАТЬ РАБОТУ КРУЖКОВ И КЛУБНЫХ ФОРМИРОВАНИЙ</w:t>
      </w:r>
    </w:p>
    <w:p w:rsidR="00D8771B" w:rsidRPr="00D8771B" w:rsidRDefault="00D8771B" w:rsidP="00D8771B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2681ECD8" wp14:editId="6167D8CF">
            <wp:extent cx="1019175" cy="1257300"/>
            <wp:effectExtent l="0" t="0" r="9525" b="0"/>
            <wp:docPr id="1" name="Рисунок 1" descr="Лилия Кир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лия Кирее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Лилия Киреева</w:t>
      </w: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 эксперт Системы Культура, кандидат педагогических наук</w:t>
      </w:r>
    </w:p>
    <w:p w:rsidR="00D8771B" w:rsidRPr="00D8771B" w:rsidRDefault="00D8771B" w:rsidP="00D8771B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</w:pPr>
      <w:r w:rsidRPr="00D8771B"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  <w:t>ЧТО СЧИТАТЬ КЛУБНЫМ ФОРМИРОВАНИЕМ И КРУЖКОМ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Клубное формирование – это добровольное объединение людей для занятия творчеством. Цель клубных формирований – организовать досуг и отдых участников, создать условия для получения новых знаний и навыков.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Видов клубных формирований несколько. Это кружки, студии любительского художественного и технического творчества, любительские объединения и клубы по интересам, народные университеты, школы и курсы прикладных знаний и навыков, физкультурно-спортивные кружки и секции, группы здоровья и туризма. Главное, чтобы они соответствовали целям и видам деятельности клубного учреждения.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кружках на первом месте стоят учебно-тренировочные занятия. Они составляют больше половины времени, отведенного на работу кружка. Результаты полученных знаний и навыков участники демонстрируют на концертах, выставках, конкурсах, состязаниях, показательных занятиях, открытых уроках, творческих лабораториях, мастер-классах и т.д.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главе кружка стоит руководитель, который назначается директором учреждения культуры.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Таким образом, кружок – клубное формирование, основа деятельности учреждения культуры клубного типа.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Используйте эти определения и рекомендации материала для написания Положения о клубном формировании или модельного стандарта деятельности учреждения клубного типа.</w:t>
      </w:r>
    </w:p>
    <w:p w:rsidR="00D8771B" w:rsidRPr="00D8771B" w:rsidRDefault="00D8771B" w:rsidP="00D8771B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</w:pPr>
      <w:r w:rsidRPr="00D8771B"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  <w:t>ОТ ЧЕГО ЗАВИСИТ КОЛИЧЕСТВО КЛУБНЫХ ФОРМИРОВАНИЙ В УЧРЕЖДЕНИИ КУЛЬТУРЫ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Нормативное количество кружков или клубных формирований в культурно-досуговых учреждениях или учреждениях </w:t>
      </w:r>
      <w:proofErr w:type="gramStart"/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дополнительного</w:t>
      </w:r>
      <w:proofErr w:type="gramEnd"/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образования на федеральном уроне не установлено.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Показатели учреждения культурно-досугового типа вне зависимости от функционала или ведомственной принадлежности, зависят:</w:t>
      </w:r>
    </w:p>
    <w:p w:rsidR="00D8771B" w:rsidRPr="00D8771B" w:rsidRDefault="00D8771B" w:rsidP="00D8771B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материальной базы учреждения;</w:t>
      </w:r>
    </w:p>
    <w:p w:rsidR="00D8771B" w:rsidRPr="00D8771B" w:rsidRDefault="00D8771B" w:rsidP="00D8771B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объемов финансирования;</w:t>
      </w:r>
    </w:p>
    <w:p w:rsidR="00D8771B" w:rsidRPr="00D8771B" w:rsidRDefault="00D8771B" w:rsidP="00D8771B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количества посетителей;</w:t>
      </w:r>
    </w:p>
    <w:p w:rsidR="00D8771B" w:rsidRPr="00D8771B" w:rsidRDefault="00D8771B" w:rsidP="00D8771B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жителей района;</w:t>
      </w:r>
    </w:p>
    <w:p w:rsidR="00D8771B" w:rsidRPr="00D8771B" w:rsidRDefault="00D8771B" w:rsidP="00D8771B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проводимых мероприятий.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Это предусмотрено </w:t>
      </w:r>
      <w:hyperlink r:id="rId7" w:anchor="/document/97/86419/me12000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Приложением № 2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(раздел "Методические рекомендации по созданию условий для развития местного традиционного народного художественного творчества в муниципальных образованиях", подраздел "Показатели деятельности") к приказу Минкультуры России от 25 мая 2006 г. </w:t>
      </w:r>
      <w:hyperlink r:id="rId8" w:anchor="/document/97/86419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№ 229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Допустимо, что количество кружков различается даже в учреждениях одной и той же ведомственной принадлежности в границах одной территории.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Поэтому об установления нормативов говорить не приходится. В каждом конкретном случае руководствуйтесь принципом целесообразности, учитывайте правовые последствия включения в штатное расписание учреждения должности "руководитель кружка" или должности "педагог дополнительного образования" (письмо </w:t>
      </w:r>
      <w:proofErr w:type="spellStart"/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Минобрнауки</w:t>
      </w:r>
      <w:proofErr w:type="spellEnd"/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России от 26 марта 2007 г. </w:t>
      </w:r>
      <w:hyperlink r:id="rId9" w:anchor="/document/97/98620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№ 06-636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</w:t>
      </w:r>
    </w:p>
    <w:p w:rsidR="00D8771B" w:rsidRPr="00D8771B" w:rsidRDefault="00D8771B" w:rsidP="00D8771B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</w:pPr>
      <w:bookmarkStart w:id="0" w:name="_GoBack"/>
      <w:bookmarkEnd w:id="0"/>
      <w:r w:rsidRPr="00D8771B"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  <w:t>КАК ОПРЕДЕЛИТЬ ПРОДОЛЖИТЕЛЬНОСТЬ ЗАНЯТИЙ В КРУЖКЕ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Продолжительность занятий клубных формирований вы устанавливаете с учетом возраста участников.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Рекомендуемая продолжительность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1860"/>
        <w:gridCol w:w="4034"/>
      </w:tblGrid>
      <w:tr w:rsidR="00D8771B" w:rsidRPr="00D8771B" w:rsidTr="00D877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Возраст участников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D8771B" w:rsidRPr="00D8771B" w:rsidTr="00D8771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Дошкольный и младший школьный возраст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30-45 минут</w:t>
            </w:r>
          </w:p>
        </w:tc>
      </w:tr>
      <w:tr w:rsidR="00D8771B" w:rsidRPr="00D8771B" w:rsidTr="00D8771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и старший школьный возраст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 раза в неделю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академических часа с перерывом 10 минут</w:t>
            </w:r>
          </w:p>
        </w:tc>
      </w:tr>
      <w:tr w:rsidR="00D8771B" w:rsidRPr="00D8771B" w:rsidTr="00D8771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 раза в неделю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академических часа с перерывом 10 минут</w:t>
            </w:r>
          </w:p>
        </w:tc>
      </w:tr>
    </w:tbl>
    <w:p w:rsidR="00D8771B" w:rsidRPr="00D8771B" w:rsidRDefault="00D8771B" w:rsidP="00D8771B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</w:pPr>
      <w:r w:rsidRPr="00D8771B"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  <w:t>КАКИЕ УЧЕТНЫЕ ДОКУМЕНТЫ ДОЛЖЕН ВЕСТИ РУКОВОДИТЕЛЬ КРУЖКА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Руководитель кружка (театрального, музыкального, хорового, хореографического):</w:t>
      </w:r>
    </w:p>
    <w:p w:rsidR="00D8771B" w:rsidRPr="00D8771B" w:rsidRDefault="00D8771B" w:rsidP="00D8771B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участвует в планировании работы кружка;</w:t>
      </w:r>
    </w:p>
    <w:p w:rsidR="00D8771B" w:rsidRPr="00D8771B" w:rsidRDefault="00D8771B" w:rsidP="00D8771B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составляет сметы расходов и доходов деятельности кружка.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 этом сказано в </w:t>
      </w:r>
      <w:hyperlink r:id="rId10" w:anchor="/document/99/902271527/XA00MDC2N5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разделе 5.2.1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Квалификационных характеристик № 251н.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руководитель ведет </w:t>
      </w:r>
      <w:hyperlink r:id="rId11" w:anchor="/document/118/58236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Журнал учета работы клубного учреждения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Это требование содержит Положение о клубном учреждении, утвержденное решением Коллегии Минкультуры России от 29 мая 2002 г. № 10 (</w:t>
      </w:r>
      <w:hyperlink r:id="rId12" w:anchor="/document/97/86502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приложение 1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). </w:t>
      </w:r>
      <w:hyperlink r:id="rId13" w:anchor="/document/118/58236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Журнал учета работы клубного учреждения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документ строгой отчетности.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Данные журнала используйте:</w:t>
      </w:r>
    </w:p>
    <w:p w:rsidR="00D8771B" w:rsidRPr="00D8771B" w:rsidRDefault="00D8771B" w:rsidP="00D8771B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контроля выполнения планов и других показателей;</w:t>
      </w:r>
    </w:p>
    <w:p w:rsidR="00D8771B" w:rsidRPr="00D8771B" w:rsidRDefault="00D8771B" w:rsidP="00D8771B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заполнения годового статистического отчета по </w:t>
      </w:r>
      <w:hyperlink r:id="rId14" w:anchor="/document/140/34434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форме № 7-НК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Учтите, что показатели </w:t>
      </w:r>
      <w:hyperlink r:id="rId15" w:anchor="/document/140/34434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отчета № 7-НК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учредитель использует для установления заработной платы работников, подготовки официальной статистической информации, проверок в случаях, предусмотренных законодательством.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Проконтролируйте, чтобы руководитель кружка в первую очередь обеспечил учет посещаемости и оформление договоров с посетителями кружка или их родителями. Зафиксируйте это в </w:t>
      </w:r>
      <w:hyperlink r:id="rId16" w:anchor="/document/118/49457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должностной инструкции руководителя кружка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или трудовом договоре (эффективном контракте).</w:t>
      </w:r>
    </w:p>
    <w:p w:rsidR="00D8771B" w:rsidRPr="00D8771B" w:rsidRDefault="00D8771B" w:rsidP="00D8771B">
      <w:pPr>
        <w:shd w:val="clear" w:color="auto" w:fill="F9F7EE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Внимание:</w:t>
      </w: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на основании </w:t>
      </w:r>
      <w:hyperlink r:id="rId17" w:anchor="/document/118/58236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Журнала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невозможно организовать учет рабочего времени. Для этого предусмотрен </w:t>
      </w:r>
      <w:hyperlink r:id="rId18" w:anchor="/document/140/34992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табель учета рабочего времени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Об этом сказано в </w:t>
      </w:r>
      <w:hyperlink r:id="rId19" w:anchor="/document/99/901807664/ZAP28703GN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п. 4 ст. 91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ТК РФ. 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0" w:anchor="/document/118/58236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Журнал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ни юридически, ни по содержащейся в нем информации не подтверждает присутствие работника на рабочем месте. В раздел II Журнала заносятся отдельные сведения об участии работников в мероприятиях. Однако мероприятие, отмеченное в Журнале, длится 3-4 часа, а рабочий день составляет 8 часов.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Используйте сведения </w:t>
      </w:r>
      <w:hyperlink r:id="rId21" w:anchor="/document/118/58236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Журнала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</w:t>
      </w:r>
    </w:p>
    <w:p w:rsidR="00D8771B" w:rsidRPr="00D8771B" w:rsidRDefault="00D8771B" w:rsidP="00D8771B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22" w:anchor="/document/16/22059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 xml:space="preserve">при определении размеров стимулирующих </w:t>
        </w:r>
        <w:proofErr w:type="gramStart"/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выплат работников</w:t>
        </w:r>
        <w:proofErr w:type="gramEnd"/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D8771B" w:rsidRPr="00D8771B" w:rsidRDefault="00D8771B" w:rsidP="00D8771B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выводов о достижении работником установленных показателей;</w:t>
      </w:r>
    </w:p>
    <w:p w:rsidR="00D8771B" w:rsidRPr="00D8771B" w:rsidRDefault="00D8771B" w:rsidP="00D8771B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выполнения должностных обязанностей.</w:t>
      </w:r>
    </w:p>
    <w:p w:rsidR="00D8771B" w:rsidRPr="00D8771B" w:rsidRDefault="00D8771B" w:rsidP="00D8771B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</w:pPr>
      <w:r w:rsidRPr="00D8771B"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  <w:t>КАК ИЗМЕРИТЬ ЭФФЕКТИВНОСТЬ КРУЖКА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Эффективность кружков на платной основе измеряйте величиной прибыли. При этом учитывайте миссию и концепцию развития учреждения. Прибыли может не быть, но убыточный кружок поможет вам решить проблему привлечения посетителей. 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Помните, что бесплатными будут только те услуги, которые стандартизированы законом от 19 декабря 2012 г. </w:t>
      </w:r>
      <w:hyperlink r:id="rId23" w:anchor="/document/99/902389617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№ 273-ФЗ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Индивидуальные досуговые услуги не стандартизированы, поэтому устанавливайте за них плату. Групповые занятия на бесплатной основе предоставляйте, если они заложены в концепции развития учреждения или политике учредителя.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бюджетных кружков эффективность определяйте выполнением нормативов, установленных </w:t>
      </w:r>
      <w:hyperlink r:id="rId24" w:anchor="/document/16/21409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государственным (муниципальным) заданием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D8771B" w:rsidRPr="00D8771B" w:rsidRDefault="00D8771B" w:rsidP="00D8771B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</w:pPr>
      <w:r w:rsidRPr="00D8771B"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  <w:t>КАКИЕ ПОКАЗАТЕЛИ ЭФФЕКТИВНОСТИ УСТАНОВИТЬ РУКОВОДИТЕЛЮ КРУЖКА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Показатели эффективности руководителя кружка включите в </w:t>
      </w:r>
      <w:hyperlink r:id="rId25" w:anchor="/document/118/30379/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эффективный контракт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(</w:t>
      </w:r>
      <w:hyperlink r:id="rId26" w:anchor="/document/99/902383325/XA00M802MO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приложение № 3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 Программе от 26 ноября 2012 г. № 2190-р).  Используйте их для стимулирующих выплат (</w:t>
      </w:r>
      <w:hyperlink r:id="rId27" w:anchor="/document/99/902383325/XA00MBK2NE/" w:history="1">
        <w:r w:rsidRPr="00D8771B">
          <w:rPr>
            <w:rFonts w:ascii="Arial" w:eastAsia="Times New Roman" w:hAnsi="Arial" w:cs="Arial"/>
            <w:color w:val="137900"/>
            <w:sz w:val="21"/>
            <w:szCs w:val="21"/>
            <w:lang w:eastAsia="ru-RU"/>
          </w:rPr>
          <w:t>Пункт 13</w:t>
        </w:r>
      </w:hyperlink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938"/>
        <w:gridCol w:w="1906"/>
        <w:gridCol w:w="1730"/>
        <w:gridCol w:w="2218"/>
      </w:tblGrid>
      <w:tr w:rsidR="00D8771B" w:rsidRPr="00D8771B" w:rsidTr="00D877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Условие получения выплаты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</w:t>
            </w:r>
          </w:p>
        </w:tc>
      </w:tr>
      <w:tr w:rsidR="00D8771B" w:rsidRPr="00D8771B" w:rsidTr="00D877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выполнение муниципального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 обоснованных жалоб граждан на качество услуг, оказываемых учреждением, и наложенных по результатам рассмотрения жалоб на </w:t>
            </w: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работника дисциплинарных взысканий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Количество и направленность кружков, работой которых работник руководит (ед., описание)</w:t>
            </w:r>
          </w:p>
          <w:p w:rsidR="00D8771B" w:rsidRPr="00D8771B" w:rsidRDefault="00D8771B" w:rsidP="00D87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проводимых занятий вне </w:t>
            </w: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кружковой работы (при наличии)</w:t>
            </w:r>
          </w:p>
          <w:p w:rsidR="00D8771B" w:rsidRPr="00D8771B" w:rsidRDefault="00D8771B" w:rsidP="00D87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Если состав стабилен, то можно отдельным показателем определить наполняемость кружка или текучесть получателей услуг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При определении размеров важно определиться будет ли он носить фиксированный характер (сумма указывается в рублях) или размер стимулирующей выплаты будет </w:t>
            </w:r>
            <w:r w:rsidRPr="00D877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привязан к окладу (в случае увеличения оклада, выплата также будет увеличиваться). Порядок определения размеров стимулирующих выплат осуществляется положением об оплате труда или коллективным договором.</w:t>
            </w:r>
          </w:p>
        </w:tc>
      </w:tr>
      <w:tr w:rsidR="00D8771B" w:rsidRPr="00D8771B" w:rsidTr="00D877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 выполнение особо важных работ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планировании деятельности учреждения, предоставлении учреждением отчетности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перспективных (годовых, иной период) и текущих планов работы (ежемесячных) (указать периодичность представления для утверждения)</w:t>
            </w:r>
          </w:p>
          <w:p w:rsidR="00D8771B" w:rsidRPr="00D8771B" w:rsidRDefault="00D8771B" w:rsidP="00D87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Своевременное предоставление отчетных документов (указать за оформление каких документов работник отвечает)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 / ежеквартально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71B" w:rsidRPr="00D8771B" w:rsidTr="00D8771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интенсивность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работника в выставочной, иной творческой деятельности учреждения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организованных работником выставок (в соответствии с планом работы учреждения)</w:t>
            </w:r>
          </w:p>
          <w:p w:rsidR="00D8771B" w:rsidRPr="00D8771B" w:rsidRDefault="00D8771B" w:rsidP="00D8771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творческих мероприятий, к проведению которых привлекался работник (потребность определяется художественным руководителем)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771B" w:rsidRPr="00D8771B" w:rsidRDefault="00D8771B" w:rsidP="00D8771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7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Ежемесячно/ ежеквартально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8771B" w:rsidRPr="00D8771B" w:rsidRDefault="00D8771B" w:rsidP="00D877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8771B" w:rsidRPr="00D8771B" w:rsidRDefault="00D8771B" w:rsidP="00D8771B">
      <w:pPr>
        <w:spacing w:before="600" w:after="300" w:line="240" w:lineRule="auto"/>
        <w:outlineLvl w:val="1"/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</w:pPr>
      <w:r w:rsidRPr="00D8771B">
        <w:rPr>
          <w:rFonts w:ascii="Arial" w:eastAsia="Times New Roman" w:hAnsi="Arial" w:cs="Arial"/>
          <w:b/>
          <w:bCs/>
          <w:caps/>
          <w:color w:val="444444"/>
          <w:spacing w:val="14"/>
          <w:sz w:val="33"/>
          <w:szCs w:val="33"/>
          <w:lang w:eastAsia="ru-RU"/>
        </w:rPr>
        <w:lastRenderedPageBreak/>
        <w:t>ИЗ КАКИХ ИСТОЧНИКОВ ФИНАНСИРОВАТЬ КРУЖОК</w:t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Финансирование кружка  может быть бюджетным и внебюджетным – за счет платы за участие в кружке. Размер платы устанавливайте не ниже стоимости норматива затрат на 1-го участника в бюджетном кружке.  </w:t>
      </w:r>
    </w:p>
    <w:p w:rsidR="00D8771B" w:rsidRPr="00D8771B" w:rsidRDefault="00D8771B" w:rsidP="00D8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D8771B" w:rsidRPr="00D8771B" w:rsidRDefault="00D8771B" w:rsidP="00D8771B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«Как организовать работу кружков и клубных формирований». Киреева Л.Н.</w:t>
      </w: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© Материал из Справочной системы «Культура».</w:t>
      </w:r>
      <w:r w:rsidRPr="00D8771B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Подробнее: </w:t>
      </w:r>
      <w:hyperlink r:id="rId28" w:anchor="/document/16/22501/dfasl31p0q/?of=copy-08de1f44b4" w:history="1">
        <w:r w:rsidRPr="00D8771B">
          <w:rPr>
            <w:rFonts w:ascii="Arial" w:eastAsia="Times New Roman" w:hAnsi="Arial" w:cs="Arial"/>
            <w:color w:val="2D78DA"/>
            <w:sz w:val="21"/>
            <w:szCs w:val="21"/>
            <w:lang w:eastAsia="ru-RU"/>
          </w:rPr>
          <w:t>https://vip.1cult.ru/#/document/16/22501/dfasl31p0q/?of=copy-08de1f44b4</w:t>
        </w:r>
      </w:hyperlink>
    </w:p>
    <w:p w:rsidR="00FE0C4A" w:rsidRDefault="00FE0C4A"/>
    <w:sectPr w:rsidR="00FE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6051"/>
    <w:multiLevelType w:val="multilevel"/>
    <w:tmpl w:val="95BA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02EE1"/>
    <w:multiLevelType w:val="multilevel"/>
    <w:tmpl w:val="3ECC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26F98"/>
    <w:multiLevelType w:val="multilevel"/>
    <w:tmpl w:val="EC34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F7CEB"/>
    <w:multiLevelType w:val="multilevel"/>
    <w:tmpl w:val="3D8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E7912"/>
    <w:multiLevelType w:val="multilevel"/>
    <w:tmpl w:val="FA2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64"/>
    <w:rsid w:val="00572964"/>
    <w:rsid w:val="00D8771B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87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6762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2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4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86358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4549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3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cult.ru/" TargetMode="External"/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hyperlink" Target="https://vip.1cul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cult.ru/" TargetMode="External"/><Relationship Id="rId7" Type="http://schemas.openxmlformats.org/officeDocument/2006/relationships/hyperlink" Target="https://vip.1cult.ru/" TargetMode="External"/><Relationship Id="rId12" Type="http://schemas.openxmlformats.org/officeDocument/2006/relationships/hyperlink" Target="https://vip.1cult.ru/" TargetMode="External"/><Relationship Id="rId17" Type="http://schemas.openxmlformats.org/officeDocument/2006/relationships/hyperlink" Target="https://vip.1cult.ru/" TargetMode="External"/><Relationship Id="rId25" Type="http://schemas.openxmlformats.org/officeDocument/2006/relationships/hyperlink" Target="https://vip.1c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https://vip.1cul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p.1cult.ru/" TargetMode="External"/><Relationship Id="rId24" Type="http://schemas.openxmlformats.org/officeDocument/2006/relationships/hyperlink" Target="https://vip.1c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cult.ru/" TargetMode="External"/><Relationship Id="rId23" Type="http://schemas.openxmlformats.org/officeDocument/2006/relationships/hyperlink" Target="https://vip.1cult.ru/" TargetMode="External"/><Relationship Id="rId28" Type="http://schemas.openxmlformats.org/officeDocument/2006/relationships/hyperlink" Target="https://vip.1cult.ru/" TargetMode="External"/><Relationship Id="rId10" Type="http://schemas.openxmlformats.org/officeDocument/2006/relationships/hyperlink" Target="https://vip.1cult.ru/" TargetMode="External"/><Relationship Id="rId19" Type="http://schemas.openxmlformats.org/officeDocument/2006/relationships/hyperlink" Target="https://vip.1c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https://vip.1cul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8205</Characters>
  <Application>Microsoft Office Word</Application>
  <DocSecurity>0</DocSecurity>
  <Lines>68</Lines>
  <Paragraphs>19</Paragraphs>
  <ScaleCrop>false</ScaleCrop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2019-03-11T07:42:00Z</dcterms:created>
  <dcterms:modified xsi:type="dcterms:W3CDTF">2019-03-11T07:43:00Z</dcterms:modified>
</cp:coreProperties>
</file>